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40.png" ContentType="image/png"/>
  <Override PartName="/word/media/rId28.png" ContentType="image/png"/>
  <Override PartName="/word/media/rId44.png" ContentType="image/png"/>
  <Override PartName="/word/media/rId27.png" ContentType="image/png"/>
  <Override PartName="/word/media/rId47.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4097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r>
        <w:t xml:space="preserve"> </w:t>
      </w:r>
      <w:r>
        <w:t xml:space="preserve">…DETAILS…</w:t>
      </w:r>
    </w:p>
    <w:p>
      <w:pPr>
        <w:pStyle w:val="BodyText"/>
      </w:pPr>
      <w:r>
        <w:t xml:space="preserve">After model fitting, we used a script to remove outliers….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49"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rPr>
          <w:i/>
        </w:rPr>
        <w:t xml:space="preserve">(Numbers in bold will change)</w:t>
      </w:r>
    </w:p>
    <w:p>
      <w:pPr>
        <w:pStyle w:val="BodyText"/>
      </w:pPr>
      <w:r>
        <w:t xml:space="preserve">Across all trees and years at SCBI,</w:t>
      </w:r>
      <w:r>
        <w:t xml:space="preserve"> </w:t>
      </w:r>
      <w:r>
        <w:t xml:space="preserve">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w:t>
      </w:r>
      <w:r>
        <w:t xml:space="preserve"> </w:t>
      </w:r>
      <w:r>
        <w:t xml:space="preserve">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w:t>
      </w:r>
      <w:r>
        <w:t xml:space="preserve"> </w:t>
      </w:r>
      <w:r>
        <w:t xml:space="preserve">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w:t>
      </w:r>
      <w:r>
        <w:t xml:space="preserve"> </w:t>
      </w:r>
      <w:r>
        <w:t xml:space="preserve">for an average peak growing season length of</w:t>
      </w:r>
      <w:r>
        <w:t xml:space="preserve"> </w:t>
      </w:r>
      <w:r>
        <w:rPr>
          <w:b/>
        </w:rPr>
        <w:t xml:space="preserve">56</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r>
        <w:t xml:space="preserve"> </w:t>
      </w:r>
      <w:r>
        <w:t xml:space="preserve">At Harvard Forest,</w:t>
      </w:r>
      <w:r>
        <w:t xml:space="preserve"> </w:t>
      </w:r>
      <w:r>
        <w:t xml:space="preserve">25% of annual growth was achieved on</w:t>
      </w:r>
      <w:r>
        <w:t xml:space="preserve"> </w:t>
      </w:r>
      <w:r>
        <w:rPr>
          <w:b/>
        </w:rPr>
        <w:t xml:space="preserve">XX</w:t>
      </w:r>
      <w:r>
        <w:t xml:space="preserve"> </w:t>
      </w:r>
      <w:r>
        <w:t xml:space="preserve">(</w:t>
      </w:r>
      <m:oMath>
        <m:r>
          <m:t>D</m:t>
        </m:r>
        <m:r>
          <m:t>O</m:t>
        </m:r>
        <m:sSub>
          <m:e>
            <m:r>
              <m:t>Y</m:t>
            </m:r>
          </m:e>
          <m:sub>
            <m:r>
              <m:t>25</m:t>
            </m:r>
          </m:sub>
        </m:sSub>
      </m:oMath>
      <w:r>
        <w:t xml:space="preserve">=</w:t>
      </w:r>
      <w:r>
        <w:rPr>
          <w:b/>
        </w:rPr>
        <w:t xml:space="preserve">XX</w:t>
      </w:r>
      <w:r>
        <w:t xml:space="preserve">),</w:t>
      </w:r>
      <w:r>
        <w:t xml:space="preserve"> </w:t>
      </w:r>
      <w:r>
        <w:t xml:space="preserve">50% on</w:t>
      </w:r>
      <w:r>
        <w:t xml:space="preserve"> </w:t>
      </w:r>
      <w:r>
        <w:rPr>
          <w:b/>
        </w:rPr>
        <w:t xml:space="preserve">XX</w:t>
      </w:r>
      <w:r>
        <w:t xml:space="preserve"> </w:t>
      </w:r>
      <w:r>
        <w:t xml:space="preserve">(</w:t>
      </w:r>
      <m:oMath>
        <m:r>
          <m:t>D</m:t>
        </m:r>
        <m:r>
          <m:t>O</m:t>
        </m:r>
        <m:sSub>
          <m:e>
            <m:r>
              <m:t>Y</m:t>
            </m:r>
          </m:e>
          <m:sub>
            <m:r>
              <m:t>50</m:t>
            </m:r>
          </m:sub>
        </m:sSub>
      </m:oMath>
      <w:r>
        <w:t xml:space="preserve">=</w:t>
      </w:r>
      <w:r>
        <w:rPr>
          <w:b/>
        </w:rPr>
        <w:t xml:space="preserve">XX</w:t>
      </w:r>
      <w:r>
        <w:t xml:space="preserve">),</w:t>
      </w:r>
      <w:r>
        <w:t xml:space="preserve"> </w:t>
      </w:r>
      <w:r>
        <w:t xml:space="preserve">and 75% on</w:t>
      </w:r>
      <w:r>
        <w:t xml:space="preserve"> </w:t>
      </w:r>
      <w:r>
        <w:rPr>
          <w:b/>
        </w:rPr>
        <w:t xml:space="preserve">XX</w:t>
      </w:r>
      <w:r>
        <w:t xml:space="preserve"> </w:t>
      </w:r>
      <w:r>
        <w:t xml:space="preserve">(</w:t>
      </w:r>
      <m:oMath>
        <m:r>
          <m:t>D</m:t>
        </m:r>
        <m:r>
          <m:t>O</m:t>
        </m:r>
        <m:sSub>
          <m:e>
            <m:r>
              <m:t>Y</m:t>
            </m:r>
          </m:e>
          <m:sub>
            <m:r>
              <m:t>75</m:t>
            </m:r>
          </m:sub>
        </m:sSub>
      </m:oMath>
      <w:r>
        <w:t xml:space="preserve">=</w:t>
      </w:r>
      <w:r>
        <w:rPr>
          <w:b/>
        </w:rPr>
        <w:t xml:space="preserve">XX</w:t>
      </w:r>
      <w:r>
        <w:t xml:space="preserve">),</w:t>
      </w:r>
      <w:r>
        <w:t xml:space="preserve"> </w:t>
      </w:r>
      <w:r>
        <w:t xml:space="preserve">for an average peak growing season length of</w:t>
      </w:r>
      <w:r>
        <w:t xml:space="preserve"> </w:t>
      </w:r>
      <w:r>
        <w:rPr>
          <w:b/>
        </w:rPr>
        <w:t xml:space="preserve">XX</w:t>
      </w:r>
      <w:r>
        <w:t xml:space="preserve"> </w:t>
      </w:r>
      <w:r>
        <w:t xml:space="preserve">days.</w:t>
      </w:r>
      <w:r>
        <w:t xml:space="preserve"> </w:t>
      </w:r>
      <w:r>
        <w:t xml:space="preserve">Maximum growth rate occurred on</w:t>
      </w:r>
      <w:r>
        <w:t xml:space="preserve"> </w:t>
      </w:r>
      <w:r>
        <w:rPr>
          <w:b/>
        </w:rPr>
        <w:t xml:space="preserve">XX</w:t>
      </w:r>
      <w:r>
        <w:t xml:space="preserve"> </w:t>
      </w:r>
      <w:r>
        <w:t xml:space="preserve">(</w:t>
      </w:r>
      <m:oMath>
        <m:r>
          <m:t>D</m:t>
        </m:r>
        <m:r>
          <m:t>O</m:t>
        </m:r>
        <m:sSub>
          <m:e>
            <m:r>
              <m:t>Y</m:t>
            </m:r>
          </m:e>
          <m:sub>
            <m:r>
              <m:t>m</m:t>
            </m:r>
            <m:r>
              <m:t>a</m:t>
            </m:r>
            <m:r>
              <m:t>x</m:t>
            </m:r>
          </m:sub>
        </m:sSub>
      </m:oMath>
      <w:r>
        <w:t xml:space="preserve">=</w:t>
      </w:r>
      <w:r>
        <w:rPr>
          <w:b/>
        </w:rPr>
        <w:t xml:space="preserve">XX</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rPr>
          <w:strike/>
        </w:rPr>
        <w:t xml:space="preserve">For ring-porous trees, on average, 25% of annual growth was achieved on</w:t>
      </w:r>
      <w:r>
        <w:rPr>
          <w:strike/>
        </w:rPr>
        <w:t xml:space="preserve"> </w:t>
      </w:r>
      <w:r>
        <w:rPr>
          <w:b/>
          <w:strike/>
        </w:rPr>
        <w:t xml:space="preserve">April 23</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113</w:t>
      </w:r>
      <w:r>
        <w:rPr>
          <w:strike/>
        </w:rPr>
        <w:t xml:space="preserve">), 50% on</w:t>
      </w:r>
      <w:r>
        <w:rPr>
          <w:strike/>
        </w:rPr>
        <w:t xml:space="preserve"> </w:t>
      </w:r>
      <w:r>
        <w:rPr>
          <w:b/>
          <w:strike/>
        </w:rPr>
        <w:t xml:space="preserve">May 27</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147</w:t>
      </w:r>
      <w:r>
        <w:rPr>
          <w:strike/>
        </w:rPr>
        <w:t xml:space="preserve">), and 75% on</w:t>
      </w:r>
      <w:r>
        <w:rPr>
          <w:strike/>
        </w:rPr>
        <w:t xml:space="preserve"> </w:t>
      </w:r>
      <w:r>
        <w:rPr>
          <w:b/>
          <w:strike/>
        </w:rPr>
        <w:t xml:space="preserve">June 30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181</w:t>
      </w:r>
      <w:r>
        <w:rPr>
          <w:strike/>
        </w:rPr>
        <w:t xml:space="preserve">), for an average peak growing season length of</w:t>
      </w:r>
      <w:r>
        <w:rPr>
          <w:strike/>
        </w:rPr>
        <w:t xml:space="preserve"> </w:t>
      </w:r>
      <w:r>
        <w:rPr>
          <w:b/>
          <w:strike/>
        </w:rPr>
        <w:t xml:space="preserve">68</w:t>
      </w:r>
      <w:r>
        <w:rPr>
          <w:strike/>
        </w:rPr>
        <w:t xml:space="preserve"> </w:t>
      </w:r>
      <w:r>
        <w:rPr>
          <w:strike/>
        </w:rPr>
        <w:t xml:space="preserve">days. Maximum growth rate occurred</w:t>
      </w:r>
      <w:r>
        <w:rPr>
          <w:strike/>
        </w:rPr>
        <w:t xml:space="preserve"> </w:t>
      </w:r>
      <w:r>
        <w:rPr>
          <w:i/>
          <w:strike/>
        </w:rPr>
        <w:t xml:space="preserve">on</w:t>
      </w:r>
      <w:r>
        <w:rPr>
          <w:i/>
          <w:strike/>
        </w:rPr>
        <w:t xml:space="preserve"> </w:t>
      </w:r>
      <m:oMath>
        <m:r>
          <m:t>D</m:t>
        </m:r>
        <m:r>
          <m:t>O</m:t>
        </m:r>
        <m:sSub>
          <m:e>
            <m:r>
              <m:t>Y</m:t>
            </m:r>
          </m:e>
          <m:sub>
            <m:r>
              <m:t>50</m:t>
            </m:r>
          </m:sub>
        </m:sSub>
      </m:oMath>
      <w:r>
        <w:rPr>
          <w:strike/>
        </w:rPr>
        <w:t xml:space="preserve"> </w:t>
      </w:r>
      <w:r>
        <w:rPr>
          <w:strike/>
        </w:rPr>
        <w:t xml:space="preserve">and averaged .048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r>
        <w:t xml:space="preserve"> </w:t>
      </w:r>
      <w:r>
        <w:rPr>
          <w:strike/>
        </w:rPr>
        <w:t xml:space="preserve">For diffuse-porous trees, on average, 25% of annual growth was achieved on</w:t>
      </w:r>
      <w:r>
        <w:rPr>
          <w:strike/>
        </w:rPr>
        <w:t xml:space="preserve"> </w:t>
      </w:r>
      <w:r>
        <w:rPr>
          <w:b/>
          <w:strike/>
        </w:rPr>
        <w:t xml:space="preserve">June 2</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153</w:t>
      </w:r>
      <w:r>
        <w:rPr>
          <w:strike/>
        </w:rPr>
        <w:t xml:space="preserve">), 50% on</w:t>
      </w:r>
      <w:r>
        <w:rPr>
          <w:strike/>
        </w:rPr>
        <w:t xml:space="preserve"> </w:t>
      </w:r>
      <w:r>
        <w:rPr>
          <w:b/>
          <w:strike/>
        </w:rPr>
        <w:t xml:space="preserve">June 20</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171</w:t>
      </w:r>
      <w:r>
        <w:rPr>
          <w:strike/>
        </w:rPr>
        <w:t xml:space="preserve">), and 75% on</w:t>
      </w:r>
      <w:r>
        <w:rPr>
          <w:strike/>
        </w:rPr>
        <w:t xml:space="preserve"> </w:t>
      </w:r>
      <w:r>
        <w:rPr>
          <w:b/>
          <w:strike/>
        </w:rPr>
        <w:t xml:space="preserve">July 9</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190</w:t>
      </w:r>
      <w:r>
        <w:rPr>
          <w:strike/>
        </w:rPr>
        <w:t xml:space="preserve">), for an average peak growing season length of</w:t>
      </w:r>
      <w:r>
        <w:rPr>
          <w:strike/>
        </w:rPr>
        <w:t xml:space="preserve"> </w:t>
      </w:r>
      <w:r>
        <w:rPr>
          <w:b/>
          <w:strike/>
        </w:rPr>
        <w:t xml:space="preserve">37</w:t>
      </w:r>
      <w:r>
        <w:rPr>
          <w:strike/>
        </w:rPr>
        <w:t xml:space="preserve"> </w:t>
      </w:r>
      <w:r>
        <w:rPr>
          <w:strike/>
        </w:rPr>
        <w:t xml:space="preserve">days. Maximum growth rate occurred</w:t>
      </w:r>
      <w:r>
        <w:rPr>
          <w:strike/>
        </w:rPr>
        <w:t xml:space="preserve"> </w:t>
      </w:r>
      <w:r>
        <w:rPr>
          <w:i/>
          <w:strike/>
        </w:rPr>
        <w:t xml:space="preserve">just one day after</w:t>
      </w:r>
      <w:r>
        <w:rPr>
          <w:i/>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June 21</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172</w:t>
      </w:r>
      <w:r>
        <w:rPr>
          <w:strike/>
        </w:rPr>
        <w:t xml:space="preserve">) and averaged .068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DOY.ip</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bookmarkEnd w:id="41"/>
    <w:bookmarkStart w:id="43"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943600" cy="6411760"/>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2"/>
                    <a:stretch>
                      <a:fillRect/>
                    </a:stretch>
                  </pic:blipFill>
                  <pic:spPr bwMode="auto">
                    <a:xfrm>
                      <a:off x="0" y="0"/>
                      <a:ext cx="5943600" cy="6411760"/>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bookmarkEnd w:id="43"/>
    <w:bookmarkStart w:id="46"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i</m:t>
            </m:r>
            <m:r>
              <m:t>p</m:t>
            </m:r>
          </m:sub>
        </m:sSub>
      </m:oMath>
      <w:r>
        <w:t xml:space="preserve"> </w:t>
      </w:r>
      <w:r>
        <w:t xml:space="preserve">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4"/>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Because both</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75</m:t>
            </m:r>
          </m:sub>
        </m:sSub>
      </m:oMath>
      <w:r>
        <w:t xml:space="preserve"> </w:t>
      </w:r>
      <w:r>
        <w:t xml:space="preserve">both shifted forward, peak growing season length was not consistently increased by warmer early spring temperatures (Tables 1, Figs. 4, 5).</w:t>
      </w:r>
      <w:r>
        <w:t xml:space="preserve"> </w:t>
      </w:r>
      <w:r>
        <w:t xml:space="preserve">At both sites,</w:t>
      </w:r>
      <w:r>
        <w:t xml:space="preserve"> </w:t>
      </w:r>
      <m:oMath>
        <m:r>
          <m:t>D</m:t>
        </m:r>
        <m:r>
          <m:t>O</m:t>
        </m:r>
        <m:sSub>
          <m:e>
            <m:r>
              <m:t>Y</m:t>
            </m:r>
          </m:e>
          <m:sub>
            <m:r>
              <m:t>75</m:t>
            </m:r>
          </m:sub>
        </m:sSub>
        <m:r>
          <m:t>−</m:t>
        </m:r>
        <m:r>
          <m:t>D</m:t>
        </m:r>
        <m:r>
          <m:t>O</m:t>
        </m:r>
        <m:sSub>
          <m:e>
            <m:r>
              <m:t>Y</m:t>
            </m:r>
          </m:e>
          <m:sub>
            <m:r>
              <m:t>25</m:t>
            </m:r>
          </m:sub>
        </m:sSub>
      </m:oMath>
      <w:r>
        <w:t xml:space="preserve"> </w:t>
      </w:r>
      <w:r>
        <w:t xml:space="preserve">decreased with temperature for ring-porous species</w:t>
      </w:r>
      <w:r>
        <w:t xml:space="preserve"> </w:t>
      </w:r>
      <w:r>
        <w:t xml:space="preserve">and was neutral (SCBI) or positive (Harvard Forest) for diffuse-porous species.</w:t>
      </w:r>
    </w:p>
    <w:bookmarkEnd w:id="46"/>
    <w:bookmarkStart w:id="48"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rate,</w:t>
      </w:r>
      <w:r>
        <w:t xml:space="preserve"> </w:t>
      </w:r>
      <m:oMath>
        <m:r>
          <m:t>Δ</m:t>
        </m:r>
        <m:r>
          <m:t>D</m:t>
        </m:r>
        <m:r>
          <m:t>B</m:t>
        </m:r>
        <m:r>
          <m:t>H</m:t>
        </m:r>
      </m:oMath>
      <w:r>
        <w:t xml:space="preserve">, also was not consistently linked to early spring temperatures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8"/>
    <w:bookmarkEnd w:id="49"/>
    <w:bookmarkStart w:id="55" w:name="discussion"/>
    <w:p>
      <w:pPr>
        <w:pStyle w:val="Heading1"/>
      </w:pPr>
      <w:r>
        <w:rPr>
          <w:rStyle w:val="SectionNumber"/>
        </w:rPr>
        <w:t xml:space="preserve">5</w:t>
      </w:r>
      <w:r>
        <w:tab/>
      </w:r>
      <w:r>
        <w:t xml:space="preserve">Discussion</w:t>
      </w:r>
    </w:p>
    <w:bookmarkStart w:id="50"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0"/>
    <w:bookmarkStart w:id="51"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1"/>
    <w:bookmarkStart w:id="52"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2"/>
    <w:bookmarkStart w:id="53"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3"/>
    <w:bookmarkStart w:id="54"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End w:id="55"/>
    <w:bookmarkStart w:id="56" w:name="content-to-incorporate"/>
    <w:p>
      <w:pPr>
        <w:pStyle w:val="Heading1"/>
      </w:pPr>
      <w:r>
        <w:rPr>
          <w:rStyle w:val="SectionNumber"/>
        </w:rPr>
        <w:t xml:space="preserve">6</w:t>
      </w:r>
      <w:r>
        <w:tab/>
      </w:r>
      <w:r>
        <w:t xml:space="preserve">(Content to incorporate)</w:t>
      </w:r>
    </w:p>
    <w:p>
      <w:pPr>
        <w:pStyle w:val="FirstParagraph"/>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6"/>
    <w:bookmarkStart w:id="57"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7"/>
    <w:bookmarkStart w:id="58" w:name="author-contributions"/>
    <w:p>
      <w:pPr>
        <w:pStyle w:val="Heading1"/>
      </w:pPr>
      <w:r>
        <w:rPr>
          <w:rStyle w:val="SectionNumber"/>
        </w:rPr>
        <w:t xml:space="preserve">8</w:t>
      </w:r>
      <w:r>
        <w:tab/>
      </w:r>
      <w:r>
        <w:t xml:space="preserve">Author Contributions</w:t>
      </w:r>
    </w:p>
    <w:bookmarkEnd w:id="58"/>
    <w:bookmarkStart w:id="59"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9"/>
    <w:bookmarkStart w:id="78" w:name="references"/>
    <w:p>
      <w:pPr>
        <w:pStyle w:val="Heading1"/>
      </w:pPr>
      <w:r>
        <w:t xml:space="preserve">References</w:t>
      </w:r>
    </w:p>
    <w:bookmarkStart w:id="77" w:name="refs"/>
    <w:bookmarkStart w:id="6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0"/>
    <w:bookmarkStart w:id="62"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1">
        <w:r>
          <w:rPr>
            <w:rStyle w:val="Hyperlink"/>
          </w:rPr>
          <w:t xml:space="preserve">https://doi.org/10.1111/j.1365-2486.2005.001012.x</w:t>
        </w:r>
      </w:hyperlink>
    </w:p>
    <w:bookmarkEnd w:id="62"/>
    <w:bookmarkStart w:id="64"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3">
        <w:r>
          <w:rPr>
            <w:rStyle w:val="Hyperlink"/>
          </w:rPr>
          <w:t xml:space="preserve">https://doi.org/10.1175/JCLI3800.1</w:t>
        </w:r>
      </w:hyperlink>
    </w:p>
    <w:bookmarkEnd w:id="64"/>
    <w:bookmarkStart w:id="66"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5">
        <w:r>
          <w:rPr>
            <w:rStyle w:val="Hyperlink"/>
          </w:rPr>
          <w:t xml:space="preserve">https://doi.org/10.1111/gcb.14731</w:t>
        </w:r>
      </w:hyperlink>
    </w:p>
    <w:bookmarkEnd w:id="66"/>
    <w:bookmarkStart w:id="68"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7">
        <w:r>
          <w:rPr>
            <w:rStyle w:val="Hyperlink"/>
          </w:rPr>
          <w:t xml:space="preserve">https://doi.org/10.1038/nclimate2253</w:t>
        </w:r>
      </w:hyperlink>
    </w:p>
    <w:bookmarkEnd w:id="68"/>
    <w:bookmarkStart w:id="70"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9">
        <w:r>
          <w:rPr>
            <w:rStyle w:val="Hyperlink"/>
          </w:rPr>
          <w:t xml:space="preserve">https://doi.org/10.1002/ece3.1117</w:t>
        </w:r>
      </w:hyperlink>
    </w:p>
    <w:bookmarkEnd w:id="70"/>
    <w:bookmarkStart w:id="72"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1">
        <w:r>
          <w:rPr>
            <w:rStyle w:val="Hyperlink"/>
          </w:rPr>
          <w:t xml:space="preserve">https://doi.org/10.1007/s13595-020-01008-1</w:t>
        </w:r>
      </w:hyperlink>
    </w:p>
    <w:bookmarkEnd w:id="72"/>
    <w:bookmarkStart w:id="74"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3">
        <w:r>
          <w:rPr>
            <w:rStyle w:val="Hyperlink"/>
          </w:rPr>
          <w:t xml:space="preserve">https://doi.org/10.1016/j.catena.2020.104936</w:t>
        </w:r>
      </w:hyperlink>
    </w:p>
    <w:bookmarkEnd w:id="74"/>
    <w:bookmarkStart w:id="7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5">
        <w:r>
          <w:rPr>
            <w:rStyle w:val="Hyperlink"/>
          </w:rPr>
          <w:t xml:space="preserve">https://doi.org/10.1016/j.agrformet.2016.06.010</w:t>
        </w:r>
      </w:hyperlink>
    </w:p>
    <w:bookmarkEnd w:id="76"/>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47" Target="media/rId47.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2020-11-16T23:07:16Z</dcterms:created>
  <dcterms:modified xsi:type="dcterms:W3CDTF">2020-11-16T23:07:16Z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